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A74" w:rsidRDefault="001F0A74" w:rsidP="001F0A74">
      <w:pPr>
        <w:ind w:firstLine="709"/>
        <w:jc w:val="right"/>
        <w:rPr>
          <w:sz w:val="24"/>
          <w:szCs w:val="24"/>
        </w:rPr>
      </w:pPr>
      <w:bookmarkStart w:id="0" w:name="_Toc412737760"/>
      <w:bookmarkStart w:id="1" w:name="_Toc501533740"/>
      <w:r w:rsidRPr="00552EF5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</w:p>
    <w:p w:rsidR="001F0A74" w:rsidRPr="001F0A74" w:rsidRDefault="001F0A74" w:rsidP="001F0A74">
      <w:pPr>
        <w:ind w:firstLine="709"/>
        <w:jc w:val="center"/>
        <w:rPr>
          <w:b/>
          <w:sz w:val="24"/>
          <w:szCs w:val="24"/>
        </w:rPr>
      </w:pPr>
      <w:r w:rsidRPr="001F0A74">
        <w:rPr>
          <w:b/>
          <w:sz w:val="24"/>
          <w:szCs w:val="24"/>
        </w:rPr>
        <w:t>Положение о Комиссии тифлопереводчиков</w:t>
      </w:r>
      <w:bookmarkEnd w:id="0"/>
      <w:bookmarkEnd w:id="1"/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>1. Общие положения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 xml:space="preserve">Настоящее положение определяет цели, состав и структуру комиссии тифлопереводчиков (далее – Комиссия), создаваемой в целях организации проведения государственной итоговой аттестации по образовательным программам основного общего образования в форме основного государственного экзамена и государственного </w:t>
      </w:r>
      <w:r>
        <w:rPr>
          <w:sz w:val="24"/>
          <w:szCs w:val="24"/>
        </w:rPr>
        <w:t xml:space="preserve">выпускного </w:t>
      </w:r>
      <w:r w:rsidRPr="00D11B92">
        <w:rPr>
          <w:sz w:val="24"/>
          <w:szCs w:val="24"/>
        </w:rPr>
        <w:t xml:space="preserve">экзамена (далее – ГИА) для слепых участников экзаменов, ее полномочия и функции, права, обязанности и ответственность ее членов, а также порядок организации работы. 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 xml:space="preserve">Координацию деятельности Комиссии осуществляет государственная экзаменационная комиссия </w:t>
      </w:r>
      <w:r>
        <w:rPr>
          <w:sz w:val="24"/>
          <w:szCs w:val="24"/>
        </w:rPr>
        <w:t>Костромской области</w:t>
      </w:r>
      <w:r w:rsidRPr="00D11B92">
        <w:rPr>
          <w:sz w:val="24"/>
          <w:szCs w:val="24"/>
        </w:rPr>
        <w:t xml:space="preserve"> (далее – ГЭК). ГЭК организует работу Комиссии совместно с региональным центром обработки информации (РЦОИ) и пунктами проведения экзамена (ППЭ).</w:t>
      </w:r>
    </w:p>
    <w:p w:rsidR="00D11B92" w:rsidRPr="0052333D" w:rsidRDefault="00D11B92" w:rsidP="00D11B92">
      <w:pPr>
        <w:ind w:firstLine="709"/>
        <w:jc w:val="both"/>
        <w:rPr>
          <w:b/>
          <w:sz w:val="24"/>
          <w:szCs w:val="24"/>
        </w:rPr>
      </w:pPr>
      <w:r w:rsidRPr="0052333D">
        <w:rPr>
          <w:b/>
          <w:sz w:val="24"/>
          <w:szCs w:val="24"/>
        </w:rPr>
        <w:t xml:space="preserve">2. Структура и состав Комиссии 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>В состав Комиссии входит председатель Комиссии, заместитель председателя и тифлопереводчики.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>Численный состав Комиссии определяется исходя из количества слепых участников экзамена (в соотношении один тифлопереводчик на две экзаменационные работы). В комиссию в качестве тифлопереводчиков включаются педагогические работники организаций, осуществляющих образовательную деятельность, свободно владеющие техникой перевода рельефно-точечного шрифта Брайля на плоскопечатный вариант.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 xml:space="preserve">Состав Комиссии утверждается </w:t>
      </w:r>
      <w:r>
        <w:rPr>
          <w:sz w:val="24"/>
          <w:szCs w:val="24"/>
        </w:rPr>
        <w:t>департаментом образования и науки Костромской области</w:t>
      </w:r>
      <w:r w:rsidRPr="00D11B92">
        <w:rPr>
          <w:sz w:val="24"/>
          <w:szCs w:val="24"/>
        </w:rPr>
        <w:t xml:space="preserve"> по согласованию с ГЭК.</w:t>
      </w:r>
    </w:p>
    <w:p w:rsidR="00D11B92" w:rsidRPr="0052333D" w:rsidRDefault="00D11B92" w:rsidP="00D11B92">
      <w:pPr>
        <w:ind w:firstLine="709"/>
        <w:jc w:val="both"/>
        <w:rPr>
          <w:b/>
          <w:sz w:val="24"/>
          <w:szCs w:val="24"/>
        </w:rPr>
      </w:pPr>
      <w:r w:rsidRPr="0052333D">
        <w:rPr>
          <w:b/>
          <w:sz w:val="24"/>
          <w:szCs w:val="24"/>
        </w:rPr>
        <w:t xml:space="preserve">3. Полномочия, функции и организация работы Комиссии 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 xml:space="preserve">Комиссия создается в целях организации и осуществления перевода экзаменационных работ слепых участников экзамена с рельефно-точечного шрифта на плоскопечатный шрифт для последующей обработки в соответствии с Порядком ГИА-9. 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>Комиссия размещается в аудитории, в которой проводился экзамен</w:t>
      </w:r>
      <w:r>
        <w:rPr>
          <w:sz w:val="24"/>
          <w:szCs w:val="24"/>
        </w:rPr>
        <w:t xml:space="preserve"> в ППЭ</w:t>
      </w:r>
      <w:r w:rsidRPr="00D11B92">
        <w:rPr>
          <w:sz w:val="24"/>
          <w:szCs w:val="24"/>
        </w:rPr>
        <w:t xml:space="preserve"> или РЦОИ. Помещения, выделенные для работы Комиссии, должны ограничивать доступ посторонних лиц и обеспечивать соблюдение режима информационной безопасности и надлежащих условий хранения документации, а также должны быть оснащены средствами видеонаблюдения.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>По окончании экзамена в ППЭ член ГЭК передает пакет с конвертами ИК, в которых находятся: тетрадь для ответов на задания КИМ, бланки регистрации, бланки ответов, дополнительные бланки ответов (при наличии), листы бумаги для черновиков, использованные участниками экзамена, и памятки с кодировками председателю Комиссии.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>Комиссия вправе принимать по согласованию с ГЭК решения по организации работы Комиссии в случае возникновения форс-мажорных ситуаций и иных непредвиденных обстоятельств, препятствующих продолжению работы Комиссии.</w:t>
      </w:r>
    </w:p>
    <w:p w:rsidR="00D11B92" w:rsidRPr="0052333D" w:rsidRDefault="00D11B92" w:rsidP="00D11B92">
      <w:pPr>
        <w:ind w:firstLine="709"/>
        <w:jc w:val="both"/>
        <w:rPr>
          <w:b/>
          <w:sz w:val="24"/>
          <w:szCs w:val="24"/>
        </w:rPr>
      </w:pPr>
      <w:bookmarkStart w:id="2" w:name="_GoBack"/>
      <w:r w:rsidRPr="0052333D">
        <w:rPr>
          <w:b/>
          <w:sz w:val="24"/>
          <w:szCs w:val="24"/>
        </w:rPr>
        <w:t>4. Функции, права и обязанности председателя Комиссии</w:t>
      </w:r>
    </w:p>
    <w:bookmarkEnd w:id="2"/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>Комиссию возглавляет председатель, который организует ее работу и несет ответственность за своевременный и точный перевод ответов участников экзамена на бланки ОГЭ</w:t>
      </w:r>
      <w:r>
        <w:rPr>
          <w:sz w:val="24"/>
          <w:szCs w:val="24"/>
        </w:rPr>
        <w:t>, ГВЭ</w:t>
      </w:r>
      <w:r w:rsidRPr="00D11B92">
        <w:rPr>
          <w:sz w:val="24"/>
          <w:szCs w:val="24"/>
        </w:rPr>
        <w:t xml:space="preserve">. 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 xml:space="preserve">Председатель Комиссии в рамках своей компетенции подчиняется председателю и заместителю председателя ГЭК. 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>Функции председателя Комиссии: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>подбор кандидатур и представление состава тифлопереводчиков на согласование ГЭК;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>распределение работ между тифлопереводчиками;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lastRenderedPageBreak/>
        <w:t>обеспечение своевременного и точного перевода;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>обеспечение режима хранения и информационной безопасности при переводе работ, передача оригинальных экзаменационных работ и переведенных на бланки ГИА руководителю ППЭ (в случае, если Комиссия работает в ППЭ);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>информирование ГЭК о ходе перевода экзаменационных работ и возникновении проблемных ситуаций.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 xml:space="preserve">Председатель Комиссии вправе: 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>давать указания тифлопереводчикам в рамках своих полномочий;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>отстранять по согласованию с ГЭК тифлопереводчиков от участия в работе Комиссии в случае возникновения конфликтных ситуаций;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 xml:space="preserve">принимать по согласованию с ГЭК решения по организации работы Комиссии в случае возникновения форс-мажорных ситуаций и иных непредвиденных обстоятельств, препятствующих продолжению работы Комиссии; 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>Председатель Комиссии обязан: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>выполнять возложенные на него функции в соответствии с настоящим Положением;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>соблюдать требования законодательных и иных нормативных правовых документов, регламентирующих порядок проведения ГИА;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>обеспечить соблюдение конфиденциальности и режима информационной безопасности при переводе, хранении экзаменационных работ;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 xml:space="preserve">своевременно информировать ГЭК о возникающих проблемах и трудностях, которые могут привести к нарушению сроков перевода. 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>Заместитель председателя комиссии выполняет функции председателя Комиссии в случае его отсутствия.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 xml:space="preserve">Тифлопереводчик обязан: 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>заполнить регистрационные поля бланков в соответствии с памяткой, кодировками и личными данными участников экзамена;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>переносить текст, записанный слепым участником экзамена в тетрадях для ответов на задания ГИА по системе Брайля, в бланк регистрации, бланки ответов плоскопечатным шрифтом, точно скопировав авторскую орфографию, пунктуацию и стилистику;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 xml:space="preserve">учитывать, что участники экзамена записывают ответы, располагая каждый ответ на отдельной строке. Строка-ответ содержит номер задания и номер ответа. 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 xml:space="preserve">При необходимости неверный ответ закалывается шестью точками. В качестве правильного ответа засчитывается последний ответ в строке. В случае повторного ответа на задание засчитывается последний ответ. Сочинение записывается, начиная с новой страницы тетради для ответов; 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>при нехватке места на бланке ответов обратиться к председателю Комиссии за дополнительным бланком ответа № 2. Председатель выдает дополнительный бланк ответов № 2, фиксируя номер выданного дополнительного бланка ответов № 2 в протоколе использования дополнительных бланков отв</w:t>
      </w:r>
      <w:r>
        <w:rPr>
          <w:sz w:val="24"/>
          <w:szCs w:val="24"/>
        </w:rPr>
        <w:t>етов № 2 в аудитории. При этом регистрационные поля дополнительного</w:t>
      </w:r>
      <w:r w:rsidRPr="00D11B92">
        <w:rPr>
          <w:sz w:val="24"/>
          <w:szCs w:val="24"/>
        </w:rPr>
        <w:t xml:space="preserve"> бланк</w:t>
      </w:r>
      <w:r>
        <w:rPr>
          <w:sz w:val="24"/>
          <w:szCs w:val="24"/>
        </w:rPr>
        <w:t>а</w:t>
      </w:r>
      <w:r w:rsidRPr="00D11B92">
        <w:rPr>
          <w:sz w:val="24"/>
          <w:szCs w:val="24"/>
        </w:rPr>
        <w:t xml:space="preserve"> ответов № 2</w:t>
      </w:r>
      <w:r>
        <w:rPr>
          <w:sz w:val="24"/>
          <w:szCs w:val="24"/>
        </w:rPr>
        <w:t xml:space="preserve"> заполняются так же, как и в основном бланке ответов № 2, включая код экзаменационной работы и номер варианта</w:t>
      </w:r>
      <w:r w:rsidRPr="00D11B92">
        <w:rPr>
          <w:sz w:val="24"/>
          <w:szCs w:val="24"/>
        </w:rPr>
        <w:t>;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>в случае привлечения для переноса ответов слабовидящих участников экзамена на бланки стандартного размера также переносить ответы и регистрационные данные, точно скопировав авторскую орфографию, пунктуацию и стилистику;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>соблюдать конфиденциальность и установленный порядок обеспечения информационной безопасности;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>профессионально выполнять возложенные на него функции;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>соблюдать этические и моральные нормы;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>информировать председателя Комиссии о проблемах, возникающих при переводе.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>Тифлопереводчик может быть исключен из состава Комиссии в случаях: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>предоставления о себе недостоверных сведений;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lastRenderedPageBreak/>
        <w:t>утери подотчетных документов;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>дополнения ответов участника экзамена информацией, которая может явиться причиной искажения результатов экзаменационной работы;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>неисполнения или ненадлежащего исполнения возложенных на него обязанностей;</w:t>
      </w:r>
    </w:p>
    <w:p w:rsidR="00D11B92" w:rsidRPr="00D11B92" w:rsidRDefault="00D11B92" w:rsidP="00D11B92">
      <w:pPr>
        <w:ind w:firstLine="709"/>
        <w:jc w:val="both"/>
        <w:rPr>
          <w:sz w:val="24"/>
          <w:szCs w:val="24"/>
        </w:rPr>
      </w:pPr>
      <w:r w:rsidRPr="00D11B92">
        <w:rPr>
          <w:sz w:val="24"/>
          <w:szCs w:val="24"/>
        </w:rPr>
        <w:t>возникновения конфликта интересов (наличие близких родственников, которые участвуют в ГИА в текущем году).</w:t>
      </w:r>
    </w:p>
    <w:p w:rsidR="00C46D33" w:rsidRDefault="00D11B92" w:rsidP="00D11B92">
      <w:pPr>
        <w:ind w:firstLine="709"/>
        <w:jc w:val="both"/>
      </w:pPr>
      <w:r w:rsidRPr="00D11B92">
        <w:rPr>
          <w:sz w:val="24"/>
          <w:szCs w:val="24"/>
        </w:rPr>
        <w:t>Решение об исключении тифлопереводчика из состава Комиссии принимается ГЭК на основании аргументированного представления председателя Комиссии. В случае неисполнения или ненадлежащего исполнения возложенных на них обязанностей, несоблюдения требований нормативных правовых актов, нарушения требований конфиденциальности и информационной безопасности, а также злоупотреблений установленными полномочиями, совершенными из корыстной или иной личной заинтересованности, члены Комиссии привлекаются к ответственности в установленном законодательством Российской Федерации порядке.</w:t>
      </w:r>
    </w:p>
    <w:sectPr w:rsidR="00C46D33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7E1" w:rsidRDefault="00F017E1" w:rsidP="001F0A74">
      <w:r>
        <w:separator/>
      </w:r>
    </w:p>
  </w:endnote>
  <w:endnote w:type="continuationSeparator" w:id="0">
    <w:p w:rsidR="00F017E1" w:rsidRDefault="00F017E1" w:rsidP="001F0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7E1" w:rsidRDefault="00F017E1" w:rsidP="001F0A74">
      <w:r>
        <w:separator/>
      </w:r>
    </w:p>
  </w:footnote>
  <w:footnote w:type="continuationSeparator" w:id="0">
    <w:p w:rsidR="00F017E1" w:rsidRDefault="00F017E1" w:rsidP="001F0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F0FFF"/>
    <w:multiLevelType w:val="hybridMultilevel"/>
    <w:tmpl w:val="F420F17A"/>
    <w:lvl w:ilvl="0" w:tplc="7266130C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0FB13F18"/>
    <w:multiLevelType w:val="hybridMultilevel"/>
    <w:tmpl w:val="972E53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FB34730"/>
    <w:multiLevelType w:val="hybridMultilevel"/>
    <w:tmpl w:val="753CDF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2AA6527"/>
    <w:multiLevelType w:val="hybridMultilevel"/>
    <w:tmpl w:val="BFFC9A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B53903"/>
    <w:multiLevelType w:val="hybridMultilevel"/>
    <w:tmpl w:val="DF0E96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84021E3"/>
    <w:multiLevelType w:val="hybridMultilevel"/>
    <w:tmpl w:val="794A9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7F46EF"/>
    <w:multiLevelType w:val="hybridMultilevel"/>
    <w:tmpl w:val="1812C1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0A74"/>
    <w:rsid w:val="00027C42"/>
    <w:rsid w:val="000370C0"/>
    <w:rsid w:val="000527D1"/>
    <w:rsid w:val="00096BAB"/>
    <w:rsid w:val="0016343A"/>
    <w:rsid w:val="00191A2A"/>
    <w:rsid w:val="001F0A74"/>
    <w:rsid w:val="0025793B"/>
    <w:rsid w:val="002D1BDA"/>
    <w:rsid w:val="002F0938"/>
    <w:rsid w:val="002F3527"/>
    <w:rsid w:val="00373584"/>
    <w:rsid w:val="003C273C"/>
    <w:rsid w:val="003D4588"/>
    <w:rsid w:val="00402CA4"/>
    <w:rsid w:val="00474C0D"/>
    <w:rsid w:val="004D2462"/>
    <w:rsid w:val="004E75C9"/>
    <w:rsid w:val="0052333D"/>
    <w:rsid w:val="005649E9"/>
    <w:rsid w:val="005738FE"/>
    <w:rsid w:val="00573AF2"/>
    <w:rsid w:val="00574C63"/>
    <w:rsid w:val="00581A9A"/>
    <w:rsid w:val="005C4952"/>
    <w:rsid w:val="005D3ED0"/>
    <w:rsid w:val="006017FD"/>
    <w:rsid w:val="00626321"/>
    <w:rsid w:val="00686B0B"/>
    <w:rsid w:val="006F2C5F"/>
    <w:rsid w:val="006F651A"/>
    <w:rsid w:val="00700CF6"/>
    <w:rsid w:val="00740C62"/>
    <w:rsid w:val="0078530A"/>
    <w:rsid w:val="007F1382"/>
    <w:rsid w:val="008326EE"/>
    <w:rsid w:val="00890481"/>
    <w:rsid w:val="0090326C"/>
    <w:rsid w:val="009051C7"/>
    <w:rsid w:val="009909E9"/>
    <w:rsid w:val="009E3517"/>
    <w:rsid w:val="00AC0BA1"/>
    <w:rsid w:val="00AD228E"/>
    <w:rsid w:val="00AF7900"/>
    <w:rsid w:val="00B001C0"/>
    <w:rsid w:val="00B1486F"/>
    <w:rsid w:val="00B67D98"/>
    <w:rsid w:val="00BA4DBB"/>
    <w:rsid w:val="00BB52DD"/>
    <w:rsid w:val="00C00EA4"/>
    <w:rsid w:val="00C354BB"/>
    <w:rsid w:val="00C44131"/>
    <w:rsid w:val="00C46D33"/>
    <w:rsid w:val="00D11B92"/>
    <w:rsid w:val="00D163B5"/>
    <w:rsid w:val="00D95115"/>
    <w:rsid w:val="00DB39FD"/>
    <w:rsid w:val="00E03DEE"/>
    <w:rsid w:val="00E162E1"/>
    <w:rsid w:val="00E71879"/>
    <w:rsid w:val="00E91073"/>
    <w:rsid w:val="00F017E1"/>
    <w:rsid w:val="00F06899"/>
    <w:rsid w:val="00F44CF8"/>
    <w:rsid w:val="00F7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2D9BE3-30F5-4D95-9C67-1787EAB98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A74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1F0A74"/>
    <w:pPr>
      <w:keepNext/>
      <w:keepLines/>
      <w:spacing w:before="120" w:after="120"/>
      <w:jc w:val="center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1F0A74"/>
    <w:pPr>
      <w:keepNext/>
      <w:keepLines/>
      <w:spacing w:before="120" w:after="120"/>
      <w:jc w:val="center"/>
      <w:outlineLvl w:val="1"/>
    </w:pPr>
    <w:rPr>
      <w:rFonts w:eastAsiaTheme="majorEastAsia"/>
      <w:b/>
      <w:bCs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F0A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F0A7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0A74"/>
    <w:rPr>
      <w:rFonts w:eastAsia="Times New Roman"/>
      <w:b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F0A74"/>
    <w:rPr>
      <w:rFonts w:eastAsiaTheme="majorEastAsia"/>
      <w:b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F0A74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F0A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styleId="a3">
    <w:name w:val="Hyperlink"/>
    <w:uiPriority w:val="99"/>
    <w:unhideWhenUsed/>
    <w:rsid w:val="001F0A74"/>
    <w:rPr>
      <w:rFonts w:ascii="Times New Roman" w:hAnsi="Times New Roman" w:cs="Times New Roman" w:hint="default"/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1F0A74"/>
    <w:pPr>
      <w:tabs>
        <w:tab w:val="right" w:leader="dot" w:pos="9629"/>
      </w:tabs>
      <w:jc w:val="both"/>
    </w:pPr>
    <w:rPr>
      <w:rFonts w:cstheme="minorHAnsi"/>
      <w:bCs/>
      <w:noProof/>
      <w:sz w:val="26"/>
    </w:rPr>
  </w:style>
  <w:style w:type="paragraph" w:styleId="a4">
    <w:name w:val="header"/>
    <w:basedOn w:val="a"/>
    <w:link w:val="a5"/>
    <w:uiPriority w:val="99"/>
    <w:unhideWhenUsed/>
    <w:rsid w:val="001F0A7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F0A74"/>
    <w:rPr>
      <w:rFonts w:eastAsia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1F0A74"/>
    <w:pPr>
      <w:jc w:val="center"/>
    </w:pPr>
    <w:rPr>
      <w:rFonts w:eastAsia="SimSun"/>
      <w:b/>
      <w:bCs/>
      <w:sz w:val="24"/>
      <w:szCs w:val="24"/>
      <w:lang w:eastAsia="zh-CN"/>
    </w:rPr>
  </w:style>
  <w:style w:type="character" w:customStyle="1" w:styleId="a7">
    <w:name w:val="Название Знак"/>
    <w:basedOn w:val="a0"/>
    <w:link w:val="a6"/>
    <w:uiPriority w:val="99"/>
    <w:rsid w:val="001F0A74"/>
    <w:rPr>
      <w:rFonts w:eastAsia="SimSun"/>
      <w:b/>
      <w:bCs/>
      <w:sz w:val="24"/>
      <w:lang w:eastAsia="zh-CN"/>
    </w:rPr>
  </w:style>
  <w:style w:type="paragraph" w:styleId="a8">
    <w:name w:val="Body Text"/>
    <w:basedOn w:val="a"/>
    <w:link w:val="a9"/>
    <w:uiPriority w:val="99"/>
    <w:unhideWhenUsed/>
    <w:rsid w:val="001F0A74"/>
    <w:pPr>
      <w:jc w:val="both"/>
    </w:pPr>
  </w:style>
  <w:style w:type="character" w:customStyle="1" w:styleId="a9">
    <w:name w:val="Основной текст Знак"/>
    <w:basedOn w:val="a0"/>
    <w:link w:val="a8"/>
    <w:uiPriority w:val="99"/>
    <w:rsid w:val="001F0A74"/>
    <w:rPr>
      <w:rFonts w:eastAsia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unhideWhenUsed/>
    <w:rsid w:val="001F0A74"/>
    <w:pPr>
      <w:ind w:firstLine="720"/>
      <w:jc w:val="both"/>
    </w:pPr>
    <w:rPr>
      <w:sz w:val="24"/>
    </w:rPr>
  </w:style>
  <w:style w:type="character" w:customStyle="1" w:styleId="ab">
    <w:name w:val="Основной текст с отступом Знак"/>
    <w:basedOn w:val="a0"/>
    <w:link w:val="aa"/>
    <w:uiPriority w:val="99"/>
    <w:rsid w:val="001F0A74"/>
    <w:rPr>
      <w:rFonts w:eastAsia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1F0A74"/>
  </w:style>
  <w:style w:type="character" w:customStyle="1" w:styleId="22">
    <w:name w:val="Основной текст 2 Знак"/>
    <w:basedOn w:val="a0"/>
    <w:link w:val="21"/>
    <w:uiPriority w:val="99"/>
    <w:semiHidden/>
    <w:rsid w:val="001F0A74"/>
    <w:rPr>
      <w:rFonts w:eastAsia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1F0A7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1F0A74"/>
    <w:rPr>
      <w:rFonts w:eastAsia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F0A7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F0A74"/>
    <w:rPr>
      <w:rFonts w:eastAsia="Times New Roman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1F0A7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1F0A74"/>
    <w:pPr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paragraph" w:styleId="ad">
    <w:name w:val="annotation text"/>
    <w:basedOn w:val="a"/>
    <w:link w:val="ae"/>
    <w:uiPriority w:val="99"/>
    <w:semiHidden/>
    <w:unhideWhenUsed/>
    <w:rsid w:val="001F0A74"/>
  </w:style>
  <w:style w:type="character" w:customStyle="1" w:styleId="ae">
    <w:name w:val="Текст примечания Знак"/>
    <w:basedOn w:val="a0"/>
    <w:link w:val="ad"/>
    <w:uiPriority w:val="99"/>
    <w:semiHidden/>
    <w:rsid w:val="001F0A74"/>
    <w:rPr>
      <w:rFonts w:eastAsia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F0A7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F0A74"/>
    <w:rPr>
      <w:rFonts w:eastAsia="Times New Roman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1F0A7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F0A7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F0A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5">
    <w:name w:val="toc 2"/>
    <w:basedOn w:val="a"/>
    <w:next w:val="a"/>
    <w:autoRedefine/>
    <w:uiPriority w:val="39"/>
    <w:unhideWhenUsed/>
    <w:rsid w:val="001F0A74"/>
    <w:pPr>
      <w:tabs>
        <w:tab w:val="right" w:leader="dot" w:pos="9629"/>
      </w:tabs>
      <w:ind w:firstLine="709"/>
    </w:pPr>
    <w:rPr>
      <w:rFonts w:cstheme="minorHAnsi"/>
      <w:sz w:val="26"/>
    </w:rPr>
  </w:style>
  <w:style w:type="paragraph" w:styleId="33">
    <w:name w:val="toc 3"/>
    <w:basedOn w:val="a"/>
    <w:next w:val="a"/>
    <w:autoRedefine/>
    <w:uiPriority w:val="39"/>
    <w:unhideWhenUsed/>
    <w:rsid w:val="001F0A74"/>
    <w:pPr>
      <w:ind w:left="400"/>
    </w:pPr>
    <w:rPr>
      <w:rFonts w:asciiTheme="minorHAnsi" w:hAnsiTheme="minorHAnsi" w:cstheme="minorHAnsi"/>
      <w:i/>
      <w:iCs/>
    </w:rPr>
  </w:style>
  <w:style w:type="paragraph" w:styleId="41">
    <w:name w:val="toc 4"/>
    <w:basedOn w:val="a"/>
    <w:next w:val="a"/>
    <w:autoRedefine/>
    <w:uiPriority w:val="39"/>
    <w:unhideWhenUsed/>
    <w:rsid w:val="001F0A74"/>
    <w:pPr>
      <w:ind w:left="600"/>
    </w:pPr>
    <w:rPr>
      <w:rFonts w:asciiTheme="minorHAnsi" w:hAnsiTheme="minorHAnsi" w:cstheme="minorHAns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1F0A74"/>
    <w:pPr>
      <w:ind w:left="800"/>
    </w:pPr>
    <w:rPr>
      <w:rFonts w:asciiTheme="minorHAnsi" w:hAnsiTheme="minorHAnsi" w:cs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1F0A74"/>
    <w:pPr>
      <w:ind w:left="1000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1F0A74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1F0A74"/>
    <w:pPr>
      <w:ind w:left="1400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1F0A74"/>
    <w:pPr>
      <w:ind w:left="1600"/>
    </w:pPr>
    <w:rPr>
      <w:rFonts w:asciiTheme="minorHAnsi" w:hAnsiTheme="minorHAnsi" w:cstheme="minorHAnsi"/>
      <w:sz w:val="18"/>
      <w:szCs w:val="18"/>
    </w:rPr>
  </w:style>
  <w:style w:type="paragraph" w:styleId="af3">
    <w:name w:val="footnote text"/>
    <w:basedOn w:val="a"/>
    <w:link w:val="af4"/>
    <w:uiPriority w:val="99"/>
    <w:semiHidden/>
    <w:unhideWhenUsed/>
    <w:rsid w:val="001F0A74"/>
  </w:style>
  <w:style w:type="character" w:customStyle="1" w:styleId="af4">
    <w:name w:val="Текст сноски Знак"/>
    <w:basedOn w:val="a0"/>
    <w:link w:val="af3"/>
    <w:uiPriority w:val="99"/>
    <w:semiHidden/>
    <w:rsid w:val="001F0A74"/>
    <w:rPr>
      <w:rFonts w:eastAsia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1F0A74"/>
    <w:rPr>
      <w:vertAlign w:val="superscript"/>
    </w:rPr>
  </w:style>
  <w:style w:type="paragraph" w:styleId="af6">
    <w:name w:val="footer"/>
    <w:basedOn w:val="a"/>
    <w:link w:val="af7"/>
    <w:uiPriority w:val="99"/>
    <w:unhideWhenUsed/>
    <w:rsid w:val="001F0A7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F0A74"/>
    <w:rPr>
      <w:rFonts w:eastAsia="Times New Roman"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1F0A74"/>
    <w:pPr>
      <w:spacing w:after="0" w:line="240" w:lineRule="auto"/>
    </w:pPr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1071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2018-04-12T12:12:00Z</dcterms:created>
  <dcterms:modified xsi:type="dcterms:W3CDTF">2022-03-17T12:53:00Z</dcterms:modified>
</cp:coreProperties>
</file>